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48B" w:rsidRPr="00323940" w:rsidRDefault="00A5548B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:rsidR="00A5548B" w:rsidRPr="00CC5A51" w:rsidRDefault="00A5548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A5548B" w:rsidRDefault="00144A47" w:rsidP="00A5548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29</w:t>
      </w:r>
      <w:r w:rsidR="00850DF7">
        <w:rPr>
          <w:rFonts w:ascii="Century" w:hAnsi="Century"/>
          <w:bCs/>
          <w:sz w:val="28"/>
          <w:szCs w:val="28"/>
        </w:rPr>
        <w:t>.</w:t>
      </w:r>
      <w:r w:rsidR="002A4A10">
        <w:rPr>
          <w:rFonts w:ascii="Century" w:hAnsi="Century"/>
          <w:bCs/>
          <w:sz w:val="28"/>
          <w:szCs w:val="28"/>
        </w:rPr>
        <w:t>0</w:t>
      </w:r>
      <w:r>
        <w:rPr>
          <w:rFonts w:ascii="Century" w:hAnsi="Century"/>
          <w:bCs/>
          <w:sz w:val="28"/>
          <w:szCs w:val="28"/>
        </w:rPr>
        <w:t>5</w:t>
      </w:r>
      <w:r w:rsidR="00681439">
        <w:rPr>
          <w:rFonts w:ascii="Century" w:hAnsi="Century"/>
          <w:bCs/>
          <w:sz w:val="28"/>
          <w:szCs w:val="28"/>
        </w:rPr>
        <w:t>.202</w:t>
      </w:r>
      <w:r w:rsidR="002A4A10">
        <w:rPr>
          <w:rFonts w:ascii="Century" w:hAnsi="Century"/>
          <w:bCs/>
          <w:sz w:val="28"/>
          <w:szCs w:val="28"/>
        </w:rPr>
        <w:t>5</w:t>
      </w:r>
      <w:r w:rsidR="00681439">
        <w:rPr>
          <w:rFonts w:ascii="Century" w:hAnsi="Century"/>
          <w:bCs/>
          <w:sz w:val="28"/>
          <w:szCs w:val="28"/>
        </w:rPr>
        <w:t xml:space="preserve"> </w:t>
      </w:r>
      <w:r w:rsidR="00A5548B" w:rsidRPr="00CC5A51">
        <w:rPr>
          <w:rFonts w:ascii="Century" w:hAnsi="Century"/>
          <w:bCs/>
          <w:sz w:val="28"/>
          <w:szCs w:val="28"/>
        </w:rPr>
        <w:t xml:space="preserve">№ </w:t>
      </w:r>
      <w:r w:rsidR="00681439">
        <w:rPr>
          <w:rFonts w:ascii="Century" w:hAnsi="Century"/>
          <w:bCs/>
          <w:sz w:val="28"/>
          <w:szCs w:val="28"/>
        </w:rPr>
        <w:t>__________</w:t>
      </w:r>
    </w:p>
    <w:p w:rsidR="00A5548B" w:rsidRDefault="00A5548B" w:rsidP="00A5548B">
      <w:pPr>
        <w:ind w:left="5103"/>
        <w:rPr>
          <w:rFonts w:ascii="Century" w:hAnsi="Century"/>
          <w:color w:val="000000"/>
        </w:rPr>
      </w:pPr>
    </w:p>
    <w:p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681439"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4105FE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грн</w:t>
            </w:r>
            <w:proofErr w:type="spellEnd"/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тис.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грн</w:t>
            </w:r>
            <w:proofErr w:type="spellEnd"/>
          </w:p>
        </w:tc>
      </w:tr>
      <w:tr w:rsidR="003D6320" w:rsidRPr="009933D2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6A2208" w:rsidRPr="009933D2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2208" w:rsidRPr="009933D2" w:rsidRDefault="006A2208" w:rsidP="006A2208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2208" w:rsidRPr="001E0A3C" w:rsidRDefault="006A2208" w:rsidP="006A2208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:rsidR="006A2208" w:rsidRPr="001E0A3C" w:rsidRDefault="006A2208" w:rsidP="006A2208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2208" w:rsidRPr="00575804" w:rsidRDefault="006A2208" w:rsidP="006A2208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585,0</w:t>
            </w:r>
            <w:r w:rsidR="004C1931">
              <w:rPr>
                <w:rFonts w:ascii="Century" w:hAnsi="Century"/>
              </w:rPr>
              <w:t>0</w:t>
            </w:r>
          </w:p>
          <w:p w:rsidR="006A2208" w:rsidRPr="00575804" w:rsidRDefault="006A2208" w:rsidP="006A2208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2208" w:rsidRPr="00575804" w:rsidRDefault="006A2208" w:rsidP="006A2208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2208" w:rsidRPr="00575804" w:rsidRDefault="009B39BA" w:rsidP="006A2208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</w:t>
            </w:r>
            <w:r w:rsidR="002A4A10">
              <w:rPr>
                <w:rFonts w:ascii="Century" w:hAnsi="Century"/>
                <w:color w:val="000000"/>
              </w:rPr>
              <w:t>3</w:t>
            </w:r>
            <w:r w:rsidR="00651545">
              <w:rPr>
                <w:rFonts w:ascii="Century" w:hAnsi="Century"/>
                <w:color w:val="000000"/>
              </w:rPr>
              <w:t>1</w:t>
            </w:r>
            <w:r w:rsidR="002A4A10">
              <w:rPr>
                <w:rFonts w:ascii="Century" w:hAnsi="Century"/>
                <w:color w:val="000000"/>
              </w:rPr>
              <w:t>1</w:t>
            </w:r>
            <w:r>
              <w:rPr>
                <w:rFonts w:ascii="Century" w:hAnsi="Century"/>
                <w:color w:val="000000"/>
              </w:rPr>
              <w:t>,6</w:t>
            </w:r>
            <w:r w:rsidR="004C1931">
              <w:rPr>
                <w:rFonts w:ascii="Century" w:hAnsi="Century"/>
                <w:color w:val="000000"/>
              </w:rPr>
              <w:t>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08" w:rsidRPr="00575804" w:rsidRDefault="009B39BA" w:rsidP="006A2208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23</w:t>
            </w:r>
            <w:r w:rsidR="00651545">
              <w:rPr>
                <w:rFonts w:ascii="Century" w:hAnsi="Century"/>
              </w:rPr>
              <w:t>6</w:t>
            </w:r>
            <w:bookmarkStart w:id="0" w:name="_GoBack"/>
            <w:bookmarkEnd w:id="0"/>
            <w:r w:rsidR="002A4A10">
              <w:rPr>
                <w:rFonts w:ascii="Century" w:hAnsi="Century"/>
              </w:rPr>
              <w:t>2</w:t>
            </w:r>
            <w:r>
              <w:rPr>
                <w:rFonts w:ascii="Century" w:hAnsi="Century"/>
              </w:rPr>
              <w:t>,826</w:t>
            </w:r>
          </w:p>
          <w:p w:rsidR="006A2208" w:rsidRPr="00575804" w:rsidRDefault="006A2208" w:rsidP="006A2208">
            <w:pPr>
              <w:jc w:val="center"/>
              <w:rPr>
                <w:rFonts w:ascii="Century" w:hAnsi="Century"/>
              </w:rPr>
            </w:pPr>
          </w:p>
        </w:tc>
      </w:tr>
    </w:tbl>
    <w:p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:rsidR="003D6320" w:rsidRPr="00575804" w:rsidRDefault="003D6320" w:rsidP="003D6320">
      <w:pPr>
        <w:rPr>
          <w:rFonts w:ascii="Century" w:hAnsi="Century"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 w:rsidR="009933D2"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="00681439">
        <w:rPr>
          <w:rFonts w:ascii="Century" w:hAnsi="Century"/>
          <w:b/>
          <w:sz w:val="28"/>
          <w:szCs w:val="28"/>
        </w:rPr>
        <w:t xml:space="preserve">            </w:t>
      </w:r>
      <w:r w:rsidR="00681439">
        <w:rPr>
          <w:rFonts w:ascii="Century" w:hAnsi="Century"/>
          <w:b/>
          <w:sz w:val="28"/>
          <w:szCs w:val="28"/>
        </w:rPr>
        <w:tab/>
      </w:r>
      <w:r w:rsidR="00575804">
        <w:rPr>
          <w:rFonts w:ascii="Century" w:hAnsi="Century"/>
          <w:b/>
          <w:sz w:val="28"/>
          <w:szCs w:val="28"/>
        </w:rPr>
        <w:t>Микола ЛУПІЙ</w:t>
      </w:r>
    </w:p>
    <w:p w:rsidR="003D6320" w:rsidRDefault="003D6320" w:rsidP="003D6320">
      <w:pPr>
        <w:rPr>
          <w:sz w:val="28"/>
          <w:szCs w:val="28"/>
        </w:rPr>
        <w:sectPr w:rsidR="003D6320" w:rsidSect="000E4C2C">
          <w:headerReference w:type="default" r:id="rId8"/>
          <w:pgSz w:w="11906" w:h="16838"/>
          <w:pgMar w:top="568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:rsidR="003D6320" w:rsidRPr="001B2AF5" w:rsidRDefault="003D6320" w:rsidP="003D6320">
      <w:pPr>
        <w:jc w:val="center"/>
        <w:rPr>
          <w:rFonts w:ascii="Century" w:hAnsi="Century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:rsidR="003D6320" w:rsidRPr="001B2AF5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1B2AF5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7A1D6F" w:rsidRPr="001B2AF5">
        <w:rPr>
          <w:rFonts w:ascii="Century" w:hAnsi="Century"/>
          <w:b/>
          <w:sz w:val="28"/>
          <w:szCs w:val="28"/>
        </w:rPr>
        <w:t xml:space="preserve"> </w:t>
      </w:r>
      <w:r w:rsidRPr="001B2AF5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:rsidR="003D6320" w:rsidRPr="001B2AF5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608"/>
        <w:gridCol w:w="3090"/>
        <w:gridCol w:w="1559"/>
        <w:gridCol w:w="1701"/>
        <w:gridCol w:w="1134"/>
        <w:gridCol w:w="1843"/>
        <w:gridCol w:w="2835"/>
      </w:tblGrid>
      <w:tr w:rsidR="003D6320" w:rsidRPr="001B2AF5" w:rsidTr="00AE3A6C">
        <w:tc>
          <w:tcPr>
            <w:tcW w:w="372" w:type="dxa"/>
          </w:tcPr>
          <w:p w:rsidR="003D6320" w:rsidRPr="001B2AF5" w:rsidRDefault="003D6320" w:rsidP="0084105A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:rsidR="003D6320" w:rsidRPr="001B2AF5" w:rsidRDefault="003D6320" w:rsidP="0084105A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608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Напрямдіяльності</w:t>
            </w:r>
            <w:proofErr w:type="spellEnd"/>
          </w:p>
        </w:tc>
        <w:tc>
          <w:tcPr>
            <w:tcW w:w="3090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Терміни</w:t>
            </w:r>
            <w:r w:rsidR="0016408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виконання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134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Орієнтов</w:t>
            </w:r>
            <w:r w:rsidR="00F01B25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а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ні</w:t>
            </w:r>
            <w:r w:rsidR="00E3320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обсяги</w:t>
            </w:r>
            <w:r w:rsidR="00E3320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фінансування, </w:t>
            </w:r>
          </w:p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3D6320" w:rsidRPr="001B2AF5" w:rsidTr="00AE3A6C">
        <w:tc>
          <w:tcPr>
            <w:tcW w:w="372" w:type="dxa"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8" w:type="dxa"/>
          </w:tcPr>
          <w:p w:rsidR="003D6320" w:rsidRPr="001B2AF5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Розвиток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міжнародного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співробітництва, співпраця з представництвами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організацій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Pr="001B2AF5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прийомів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делегацій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іноземних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 партнерських та дружніх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міст і регіонів, представників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організацій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під час відзначення Дня міста, урочистих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 і особливих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подій (проживання, харчування, транспортні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витрати, сувеніри</w:t>
            </w:r>
            <w:r w:rsidR="00F525EA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подяки, грамоти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:rsidR="003F628B" w:rsidRPr="001B2AF5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управління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Городоцької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міської ради</w:t>
            </w: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 – 50</w:t>
            </w:r>
            <w:r w:rsidR="008823A3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2024 –</w:t>
            </w:r>
            <w:r w:rsidR="00F35B09"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="008823A3" w:rsidRPr="001B2AF5">
              <w:rPr>
                <w:rFonts w:ascii="Century" w:hAnsi="Century"/>
                <w:sz w:val="20"/>
                <w:szCs w:val="20"/>
                <w:lang w:val="uk-UA"/>
              </w:rPr>
              <w:t>0,0</w:t>
            </w:r>
          </w:p>
          <w:p w:rsidR="003D6320" w:rsidRPr="001B2AF5" w:rsidRDefault="003D6320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 </w:t>
            </w:r>
            <w:r w:rsidR="000E120E"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Створено позитивний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імідж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Городоцької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територіальної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підтримка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партнерських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відносин, налагодження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нових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контактів</w:t>
            </w:r>
          </w:p>
        </w:tc>
      </w:tr>
      <w:tr w:rsidR="003D6320" w:rsidRPr="001B2AF5" w:rsidTr="00AE3A6C">
        <w:tc>
          <w:tcPr>
            <w:tcW w:w="372" w:type="dxa"/>
            <w:vMerge w:val="restart"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Pr="001B2AF5" w:rsidRDefault="003D6320" w:rsidP="005A186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1.2.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Налагодження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нов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их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поглиблення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наявних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дипломатичними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інституціями та представництвами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організацій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щодо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</w:t>
            </w:r>
          </w:p>
        </w:tc>
        <w:tc>
          <w:tcPr>
            <w:tcW w:w="1559" w:type="dxa"/>
          </w:tcPr>
          <w:p w:rsidR="003D6320" w:rsidRPr="001B2AF5" w:rsidRDefault="00151534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Протягом 2023-2025 </w:t>
            </w:r>
            <w:r w:rsidR="003D632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Покращен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ий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громади, залучення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</w:t>
            </w:r>
          </w:p>
        </w:tc>
      </w:tr>
      <w:tr w:rsidR="003D6320" w:rsidRPr="001B2AF5" w:rsidTr="00AE3A6C">
        <w:tc>
          <w:tcPr>
            <w:tcW w:w="372" w:type="dxa"/>
            <w:vMerge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Забезпечення перекладу (усного, письмового) в рамках офіційних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заходів, ділової переписки, підготовки проектних заявок та ін.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30,0 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езперешкодн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комунікаці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іноземними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установами, міжнародними фондами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3D6320" w:rsidRPr="001B2AF5" w:rsidTr="00AE3A6C">
        <w:tc>
          <w:tcPr>
            <w:tcW w:w="372" w:type="dxa"/>
            <w:vMerge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1.4. Сприяння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проведенню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іміджевих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міжнародного характеру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в онлайн форматі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:rsidR="003F628B" w:rsidRPr="001B2AF5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управління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Городоцької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міської ради</w:t>
            </w: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відповідно до потреби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Забезпечено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складову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заходів, які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визначені як іміджеві у громаді та плануються як міжнародні</w:t>
            </w:r>
          </w:p>
        </w:tc>
      </w:tr>
      <w:tr w:rsidR="003D6320" w:rsidRPr="001B2AF5" w:rsidTr="00AE3A6C">
        <w:trPr>
          <w:trHeight w:val="2535"/>
        </w:trPr>
        <w:tc>
          <w:tcPr>
            <w:tcW w:w="372" w:type="dxa"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08" w:type="dxa"/>
          </w:tcPr>
          <w:p w:rsidR="003D6320" w:rsidRPr="001B2AF5" w:rsidRDefault="003D6320" w:rsidP="00AE3A6C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090" w:type="dxa"/>
          </w:tcPr>
          <w:p w:rsidR="003D6320" w:rsidRPr="001B2AF5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2.1. Розробка та</w:t>
            </w:r>
            <w:r w:rsidR="00440FA2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закупівля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промоційних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матеріалів (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англійською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мовою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 та сувенірів для вручення: представникам іноземних делегацій, депутатам, інвесторам, представникам установ та організацій, нагородження з на</w:t>
            </w:r>
            <w:r w:rsidR="00533C8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годи пам’ятних та ювілейних дат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– 3</w:t>
            </w:r>
            <w:r w:rsidR="006355B0" w:rsidRPr="001B2AF5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,5</w:t>
            </w:r>
          </w:p>
          <w:p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3D6320" w:rsidRPr="001B2AF5" w:rsidRDefault="003E01EF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</w:t>
            </w: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 xml:space="preserve">–   </w:t>
            </w:r>
            <w:r w:rsidR="00F35B09"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Сформовано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позитивн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ий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громади</w:t>
            </w:r>
          </w:p>
        </w:tc>
      </w:tr>
      <w:tr w:rsidR="003D6320" w:rsidRPr="001B2AF5" w:rsidTr="00AE3A6C">
        <w:tc>
          <w:tcPr>
            <w:tcW w:w="372" w:type="dxa"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08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="001B2A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міжнародної технічної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державної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грантових проєктів</w:t>
            </w:r>
          </w:p>
        </w:tc>
        <w:tc>
          <w:tcPr>
            <w:tcW w:w="3090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 ради проєктів міжнародної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супровід проєктів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оцінка, техніко-економічне </w:t>
            </w:r>
            <w:r w:rsidR="001B2AF5" w:rsidRPr="001B2AF5">
              <w:rPr>
                <w:rFonts w:ascii="Century" w:hAnsi="Century"/>
                <w:sz w:val="20"/>
                <w:szCs w:val="20"/>
                <w:lang w:val="uk-UA"/>
              </w:rPr>
              <w:t>обґрунтування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0,0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Комплексно підготовлен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проєктні заявки для подачі на грантові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конкурси,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якісно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реалізовані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проєкти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3D6320" w:rsidRPr="001B2AF5" w:rsidTr="00AE3A6C">
        <w:tc>
          <w:tcPr>
            <w:tcW w:w="372" w:type="dxa"/>
            <w:vMerge w:val="restart"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3.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2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. Надання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консультацій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виконавчим органам та комунальним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установам з питань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залучення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грантових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коштів, методична допомога у написанні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проєктних заявок 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поінформованість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установ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міської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територіальної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громади про можливості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залучення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грантової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допомоги</w:t>
            </w:r>
          </w:p>
        </w:tc>
      </w:tr>
      <w:tr w:rsidR="003D6320" w:rsidRPr="001B2AF5" w:rsidTr="00AE3A6C">
        <w:tc>
          <w:tcPr>
            <w:tcW w:w="372" w:type="dxa"/>
            <w:vMerge/>
          </w:tcPr>
          <w:p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Організація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вчань для представників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виконавчи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органів та комунальних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установ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щодо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підготовки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проєктних заявок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участі у грантових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програмах, реалізації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</w:p>
          <w:p w:rsidR="00432519" w:rsidRPr="001B2AF5" w:rsidRDefault="00432519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Протягом</w:t>
            </w:r>
            <w:r w:rsidR="00D647B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2023-2025 років</w:t>
            </w:r>
          </w:p>
          <w:p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Створен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="006355B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групу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кваліфікованих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проектних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менеджерів для активізації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аплікування на профільні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грантові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конкурси, якісного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супроводу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</w:p>
        </w:tc>
      </w:tr>
      <w:tr w:rsidR="00906A38" w:rsidTr="00AE3A6C">
        <w:tc>
          <w:tcPr>
            <w:tcW w:w="372" w:type="dxa"/>
          </w:tcPr>
          <w:p w:rsidR="00906A38" w:rsidRPr="001E0A3C" w:rsidRDefault="00906A38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906A38" w:rsidRPr="001E0A3C" w:rsidRDefault="00906A38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:rsidR="00906A38" w:rsidRPr="00432519" w:rsidRDefault="00906A38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 Заходи з реалізації Проєкту PLUA.01.03-IP.01-0005/23</w:t>
            </w:r>
          </w:p>
          <w:p w:rsidR="00906A38" w:rsidRPr="00432519" w:rsidRDefault="00432519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«</w:t>
            </w:r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>Сєдельце</w:t>
            </w:r>
            <w:proofErr w:type="spellEnd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громади</w:t>
            </w: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»</w:t>
            </w:r>
          </w:p>
          <w:p w:rsidR="00906A38" w:rsidRPr="00432519" w:rsidRDefault="00906A38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906A38" w:rsidRPr="0050623E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:rsidR="00906A38" w:rsidRPr="001B2AF5" w:rsidRDefault="0050623E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:rsidR="00906A38" w:rsidRPr="001B2AF5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:rsidR="00906A38" w:rsidRPr="001B2AF5" w:rsidRDefault="006A2208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2024- </w:t>
            </w:r>
            <w:r w:rsidR="00A81D43">
              <w:rPr>
                <w:rFonts w:ascii="Century" w:hAnsi="Century"/>
                <w:sz w:val="20"/>
                <w:szCs w:val="20"/>
                <w:lang w:val="uk-UA"/>
              </w:rPr>
              <w:t>196</w:t>
            </w:r>
            <w:r w:rsidR="00374B21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="00A81D43">
              <w:rPr>
                <w:rFonts w:ascii="Century" w:hAnsi="Century"/>
                <w:sz w:val="20"/>
                <w:szCs w:val="20"/>
                <w:lang w:val="uk-UA"/>
              </w:rPr>
              <w:t>70</w:t>
            </w:r>
          </w:p>
        </w:tc>
        <w:tc>
          <w:tcPr>
            <w:tcW w:w="2835" w:type="dxa"/>
          </w:tcPr>
          <w:p w:rsidR="00906A38" w:rsidRPr="00575804" w:rsidRDefault="00575804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Реалізовано заходи Проєкту міжнародного співробітництва в рамках Програми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INTERREG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NEXT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2021-2027</w:t>
            </w:r>
          </w:p>
        </w:tc>
      </w:tr>
      <w:tr w:rsidR="00432519" w:rsidTr="00AE3A6C">
        <w:tc>
          <w:tcPr>
            <w:tcW w:w="372" w:type="dxa"/>
          </w:tcPr>
          <w:p w:rsidR="00432519" w:rsidRPr="001E0A3C" w:rsidRDefault="00432519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432519" w:rsidRPr="001E0A3C" w:rsidRDefault="00432519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:rsidR="00432519" w:rsidRPr="00432519" w:rsidRDefault="00432519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3.4.1. Проведення конференції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(в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. проживання та харчування учасників, роздаткові матеріали, переклад, спікери, оренда конференц-залу і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т.д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:rsidR="00432519" w:rsidRPr="0050623E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:rsidR="00432519" w:rsidRPr="001B2AF5" w:rsidRDefault="0050623E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:rsidR="00432519" w:rsidRPr="001B2AF5" w:rsidRDefault="0050623E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:rsidR="00432519" w:rsidRDefault="00B324C8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</w:t>
            </w:r>
            <w:r w:rsidR="00374B21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70</w:t>
            </w:r>
          </w:p>
        </w:tc>
        <w:tc>
          <w:tcPr>
            <w:tcW w:w="2835" w:type="dxa"/>
          </w:tcPr>
          <w:p w:rsidR="00432519" w:rsidRPr="00575804" w:rsidRDefault="00575804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Проведено Конференцію відкриття Проєкту 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Сєдельце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громади</w:t>
            </w:r>
          </w:p>
        </w:tc>
      </w:tr>
      <w:tr w:rsidR="00AE3A6C" w:rsidTr="00AE3A6C">
        <w:tc>
          <w:tcPr>
            <w:tcW w:w="372" w:type="dxa"/>
          </w:tcPr>
          <w:p w:rsidR="00AE3A6C" w:rsidRPr="001E0A3C" w:rsidRDefault="00AE3A6C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AE3A6C" w:rsidRPr="001E0A3C" w:rsidRDefault="00AE3A6C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:rsidR="00AE3A6C" w:rsidRPr="00432519" w:rsidRDefault="00AE3A6C" w:rsidP="00906A38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3.4.2</w:t>
            </w:r>
            <w:r w:rsid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9D2DBA" w:rsidRPr="009D2DBA">
              <w:rPr>
                <w:rFonts w:ascii="Century" w:hAnsi="Century"/>
                <w:sz w:val="20"/>
                <w:szCs w:val="20"/>
              </w:rPr>
              <w:t>Управлінські</w:t>
            </w:r>
            <w:proofErr w:type="spellEnd"/>
            <w:r w:rsidR="009D2DBA"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9D2DBA" w:rsidRPr="009D2DBA">
              <w:rPr>
                <w:rFonts w:ascii="Century" w:hAnsi="Century"/>
                <w:sz w:val="20"/>
                <w:szCs w:val="20"/>
              </w:rPr>
              <w:t>послуги</w:t>
            </w:r>
            <w:proofErr w:type="spellEnd"/>
            <w:r w:rsidR="009D2DBA"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r w:rsidR="004D622F">
              <w:rPr>
                <w:rFonts w:ascii="Century" w:hAnsi="Century"/>
                <w:sz w:val="20"/>
                <w:szCs w:val="20"/>
              </w:rPr>
              <w:t xml:space="preserve">по </w:t>
            </w:r>
            <w:r w:rsidR="009D2DBA" w:rsidRPr="009D2DBA">
              <w:rPr>
                <w:rFonts w:ascii="Century" w:hAnsi="Century"/>
                <w:sz w:val="20"/>
                <w:szCs w:val="20"/>
              </w:rPr>
              <w:t>Проєкту №</w:t>
            </w:r>
            <w:r w:rsidR="0041540F">
              <w:t xml:space="preserve"> </w:t>
            </w:r>
            <w:r w:rsidR="0041540F" w:rsidRPr="0041540F">
              <w:rPr>
                <w:rFonts w:ascii="Century" w:hAnsi="Century"/>
                <w:sz w:val="20"/>
                <w:szCs w:val="20"/>
              </w:rPr>
              <w:t>PLUA.01.03-IP.01-0005/23</w:t>
            </w:r>
            <w:r w:rsidR="009D2DBA" w:rsidRPr="009D2DBA">
              <w:rPr>
                <w:rFonts w:ascii="Century" w:hAnsi="Century"/>
                <w:sz w:val="20"/>
                <w:szCs w:val="20"/>
              </w:rPr>
              <w:t xml:space="preserve"> "</w:t>
            </w:r>
            <w:r w:rsidR="0041540F" w:rsidRPr="0041540F">
              <w:rPr>
                <w:rFonts w:ascii="Century" w:hAnsi="Century"/>
                <w:sz w:val="20"/>
                <w:szCs w:val="20"/>
              </w:rPr>
              <w:t>«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Розвиток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зеленої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інфраструктури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міста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Сєдльце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 та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Привільненської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41540F"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="0041540F" w:rsidRPr="0041540F">
              <w:rPr>
                <w:rFonts w:ascii="Century" w:hAnsi="Century"/>
                <w:sz w:val="20"/>
                <w:szCs w:val="20"/>
              </w:rPr>
              <w:t>»</w:t>
            </w:r>
            <w:r w:rsidR="009D2DBA" w:rsidRPr="009D2DBA">
              <w:rPr>
                <w:rFonts w:ascii="Century" w:hAnsi="Century"/>
                <w:sz w:val="20"/>
                <w:szCs w:val="20"/>
              </w:rPr>
              <w:t xml:space="preserve">" в межах </w:t>
            </w:r>
            <w:proofErr w:type="spellStart"/>
            <w:r w:rsidR="009D2DBA" w:rsidRPr="009D2DBA">
              <w:rPr>
                <w:rFonts w:ascii="Century" w:hAnsi="Century"/>
                <w:sz w:val="20"/>
                <w:szCs w:val="20"/>
              </w:rPr>
              <w:t>Програми</w:t>
            </w:r>
            <w:proofErr w:type="spellEnd"/>
            <w:r w:rsidR="009D2DBA"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9D2DBA" w:rsidRPr="009D2DBA">
              <w:rPr>
                <w:rFonts w:ascii="Century" w:hAnsi="Century"/>
                <w:sz w:val="20"/>
                <w:szCs w:val="20"/>
              </w:rPr>
              <w:t>Interreg</w:t>
            </w:r>
            <w:proofErr w:type="spellEnd"/>
            <w:r w:rsidR="009D2DBA" w:rsidRPr="009D2DBA">
              <w:rPr>
                <w:rFonts w:ascii="Century" w:hAnsi="Century"/>
                <w:sz w:val="20"/>
                <w:szCs w:val="20"/>
              </w:rPr>
              <w:t xml:space="preserve"> NEXT PL-UA 2021-2027</w:t>
            </w:r>
          </w:p>
        </w:tc>
        <w:tc>
          <w:tcPr>
            <w:tcW w:w="1559" w:type="dxa"/>
          </w:tcPr>
          <w:p w:rsidR="00AE3A6C" w:rsidRPr="009D2DBA" w:rsidRDefault="004D622F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701" w:type="dxa"/>
          </w:tcPr>
          <w:p w:rsidR="00AE3A6C" w:rsidRPr="001B2AF5" w:rsidRDefault="004D622F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:rsidR="00AE3A6C" w:rsidRPr="001B2AF5" w:rsidRDefault="004D622F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 грантові кошти</w:t>
            </w:r>
          </w:p>
        </w:tc>
        <w:tc>
          <w:tcPr>
            <w:tcW w:w="1843" w:type="dxa"/>
          </w:tcPr>
          <w:p w:rsidR="00AE3A6C" w:rsidRDefault="00AE3A6C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:rsidR="00AE3A6C" w:rsidRDefault="004C1931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C1931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Підвищено ефективність управління проектом, забезпечено досягнення індикаторів проекту</w:t>
            </w:r>
            <w:r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</w:tr>
      <w:tr w:rsidR="000430D4" w:rsidTr="00AE3A6C">
        <w:tc>
          <w:tcPr>
            <w:tcW w:w="372" w:type="dxa"/>
          </w:tcPr>
          <w:p w:rsidR="000430D4" w:rsidRPr="000430D4" w:rsidRDefault="000430D4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</w:tcPr>
          <w:p w:rsidR="000430D4" w:rsidRPr="001E0A3C" w:rsidRDefault="000430D4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:rsidR="000430D4" w:rsidRDefault="00CF2089" w:rsidP="00906A38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3.4.3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Закупівля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едукаційних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таблиць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годівниць</w:t>
            </w:r>
            <w:proofErr w:type="spellEnd"/>
          </w:p>
        </w:tc>
        <w:tc>
          <w:tcPr>
            <w:tcW w:w="1559" w:type="dxa"/>
          </w:tcPr>
          <w:p w:rsidR="000430D4" w:rsidRDefault="00CF2089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701" w:type="dxa"/>
          </w:tcPr>
          <w:p w:rsidR="000430D4" w:rsidRPr="001B2AF5" w:rsidRDefault="00CF2089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:rsidR="000430D4" w:rsidRPr="001B2AF5" w:rsidRDefault="00CF2089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 грантові кошти</w:t>
            </w:r>
          </w:p>
        </w:tc>
        <w:tc>
          <w:tcPr>
            <w:tcW w:w="1843" w:type="dxa"/>
          </w:tcPr>
          <w:p w:rsidR="000430D4" w:rsidRDefault="00CF2089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2025 </w:t>
            </w:r>
            <w:r w:rsidR="00676757">
              <w:rPr>
                <w:rFonts w:ascii="Century" w:hAnsi="Century"/>
                <w:sz w:val="20"/>
                <w:szCs w:val="20"/>
              </w:rPr>
              <w:t>–</w:t>
            </w:r>
            <w:r>
              <w:rPr>
                <w:rFonts w:ascii="Century" w:hAnsi="Century"/>
                <w:sz w:val="20"/>
                <w:szCs w:val="20"/>
              </w:rPr>
              <w:t xml:space="preserve"> 32</w:t>
            </w:r>
            <w:r w:rsidR="00676757">
              <w:rPr>
                <w:rFonts w:ascii="Century" w:hAnsi="Century"/>
                <w:sz w:val="20"/>
                <w:szCs w:val="20"/>
              </w:rPr>
              <w:t>,</w:t>
            </w:r>
            <w:r>
              <w:rPr>
                <w:rFonts w:ascii="Century" w:hAnsi="Century"/>
                <w:sz w:val="20"/>
                <w:szCs w:val="20"/>
              </w:rPr>
              <w:t>00</w:t>
            </w:r>
          </w:p>
        </w:tc>
        <w:tc>
          <w:tcPr>
            <w:tcW w:w="2835" w:type="dxa"/>
          </w:tcPr>
          <w:p w:rsidR="000430D4" w:rsidRPr="004C1931" w:rsidRDefault="00CF2089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показників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індикаторів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Проєкту</w:t>
            </w:r>
          </w:p>
        </w:tc>
      </w:tr>
      <w:tr w:rsidR="00144A47" w:rsidTr="00AE3A6C">
        <w:tc>
          <w:tcPr>
            <w:tcW w:w="372" w:type="dxa"/>
          </w:tcPr>
          <w:p w:rsidR="00144A47" w:rsidRPr="000430D4" w:rsidRDefault="00144A47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144A47" w:rsidRPr="001E0A3C" w:rsidRDefault="00144A47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:rsidR="00144A47" w:rsidRPr="008358C7" w:rsidRDefault="00144A47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3.4.4.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Закупівля</w:t>
            </w:r>
            <w:proofErr w:type="spellEnd"/>
            <w:r w:rsidR="00651545">
              <w:rPr>
                <w:rFonts w:ascii="Century" w:hAnsi="Century"/>
                <w:sz w:val="20"/>
                <w:szCs w:val="20"/>
              </w:rPr>
              <w:t xml:space="preserve"> </w:t>
            </w:r>
            <w:r w:rsidR="00651545">
              <w:rPr>
                <w:rFonts w:ascii="Century" w:hAnsi="Century"/>
                <w:sz w:val="20"/>
                <w:szCs w:val="20"/>
                <w:lang w:val="uk-UA"/>
              </w:rPr>
              <w:t>інформаційних</w:t>
            </w:r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r w:rsidR="008358C7">
              <w:rPr>
                <w:rFonts w:ascii="Century" w:hAnsi="Century"/>
                <w:sz w:val="20"/>
                <w:szCs w:val="20"/>
                <w:lang w:val="uk-UA"/>
              </w:rPr>
              <w:t xml:space="preserve">таблиць </w:t>
            </w:r>
          </w:p>
        </w:tc>
        <w:tc>
          <w:tcPr>
            <w:tcW w:w="1559" w:type="dxa"/>
          </w:tcPr>
          <w:p w:rsidR="00144A47" w:rsidRDefault="00651545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701" w:type="dxa"/>
          </w:tcPr>
          <w:p w:rsidR="00144A47" w:rsidRPr="001B2AF5" w:rsidRDefault="00651545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:rsidR="00144A47" w:rsidRPr="001B2AF5" w:rsidRDefault="00651545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 грантові кошти</w:t>
            </w:r>
          </w:p>
        </w:tc>
        <w:tc>
          <w:tcPr>
            <w:tcW w:w="1843" w:type="dxa"/>
          </w:tcPr>
          <w:p w:rsidR="00144A47" w:rsidRDefault="00651545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10,000</w:t>
            </w:r>
          </w:p>
          <w:p w:rsidR="00651545" w:rsidRDefault="00651545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835" w:type="dxa"/>
          </w:tcPr>
          <w:p w:rsidR="00144A47" w:rsidRDefault="00651545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вимоги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інформування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реалізацію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проєкту</w:t>
            </w:r>
          </w:p>
        </w:tc>
      </w:tr>
      <w:tr w:rsidR="003D6320" w:rsidTr="00AE3A6C"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08" w:type="dxa"/>
          </w:tcPr>
          <w:p w:rsidR="003D6320" w:rsidRPr="001B2AF5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Співпраця з громадськими</w:t>
            </w:r>
            <w:r w:rsidR="007A1D6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організаціями</w:t>
            </w:r>
          </w:p>
        </w:tc>
        <w:tc>
          <w:tcPr>
            <w:tcW w:w="3090" w:type="dxa"/>
          </w:tcPr>
          <w:p w:rsidR="003D6320" w:rsidRPr="001B2AF5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4.1. Сплата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Обласній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місцевих рад “Ради Львівщини”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2023-2025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2023 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–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84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,0</w:t>
            </w:r>
          </w:p>
          <w:p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2024 – 84,0</w:t>
            </w:r>
          </w:p>
          <w:p w:rsidR="00AE3A6C" w:rsidRDefault="00AE3A6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:rsidR="00AE3A6C" w:rsidRPr="001B2AF5" w:rsidRDefault="00AE3A6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</w:t>
            </w:r>
            <w:r w:rsidR="009B39B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="009B39B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84,0</w:t>
            </w: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міської ради;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отримано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</w:tc>
      </w:tr>
      <w:tr w:rsidR="003D6320" w:rsidTr="00AE3A6C">
        <w:tc>
          <w:tcPr>
            <w:tcW w:w="372" w:type="dxa"/>
            <w:vMerge w:val="restart"/>
            <w:tcBorders>
              <w:top w:val="nil"/>
            </w:tcBorders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4.2.Сплата 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Всеукраїнській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органів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місцевого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самоврядування “Асоціація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міст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України”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2023 – </w:t>
            </w:r>
            <w:r w:rsidR="00A345FE" w:rsidRPr="001B2AF5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  <w:p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– </w:t>
            </w:r>
            <w:r w:rsidR="00F0206D" w:rsidRPr="001B2AF5">
              <w:rPr>
                <w:rFonts w:ascii="Century" w:hAnsi="Century"/>
                <w:sz w:val="20"/>
                <w:szCs w:val="20"/>
                <w:lang w:val="uk-UA"/>
              </w:rPr>
              <w:t>41,3</w:t>
            </w:r>
          </w:p>
          <w:p w:rsidR="00AE3A6C" w:rsidRDefault="00AE3A6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:rsidR="00AE3A6C" w:rsidRPr="001B2AF5" w:rsidRDefault="00AE3A6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</w:t>
            </w:r>
            <w:r w:rsidR="009B39B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="009B39B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41,3</w:t>
            </w:r>
          </w:p>
        </w:tc>
        <w:tc>
          <w:tcPr>
            <w:tcW w:w="2835" w:type="dxa"/>
          </w:tcPr>
          <w:p w:rsidR="003D6320" w:rsidRPr="001B2AF5" w:rsidRDefault="003D6320" w:rsidP="00F22C6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</w:t>
            </w:r>
            <w:r w:rsidR="006355B0"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</w:tc>
      </w:tr>
      <w:tr w:rsidR="003D6320" w:rsidTr="00AE3A6C">
        <w:trPr>
          <w:trHeight w:val="2612"/>
        </w:trPr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4.3.Сплата 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органів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місцевого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самоврядування “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Єврорегіон</w:t>
            </w:r>
            <w:proofErr w:type="spellEnd"/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Карпати-Україна”</w:t>
            </w:r>
          </w:p>
          <w:p w:rsidR="003D6320" w:rsidRPr="001B2AF5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2023 -</w:t>
            </w:r>
            <w:r w:rsidR="002E1CE3" w:rsidRPr="001B2AF5">
              <w:rPr>
                <w:rFonts w:ascii="Century" w:hAnsi="Century"/>
                <w:sz w:val="20"/>
                <w:szCs w:val="20"/>
                <w:lang w:val="uk-UA"/>
              </w:rPr>
              <w:t>300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,0</w:t>
            </w:r>
          </w:p>
          <w:p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517A7C" w:rsidRDefault="00F0206D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54,7</w:t>
            </w:r>
          </w:p>
          <w:p w:rsidR="00AE3A6C" w:rsidRDefault="00AE3A6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AE3A6C" w:rsidRPr="001B2AF5" w:rsidRDefault="00AE3A6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2025 </w:t>
            </w:r>
            <w:r w:rsidR="009B39BA">
              <w:rPr>
                <w:rFonts w:ascii="Century" w:hAnsi="Century"/>
                <w:sz w:val="20"/>
                <w:szCs w:val="20"/>
                <w:lang w:val="uk-UA"/>
              </w:rPr>
              <w:t>–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="009B39BA">
              <w:rPr>
                <w:rFonts w:ascii="Century" w:hAnsi="Century"/>
                <w:sz w:val="20"/>
                <w:szCs w:val="20"/>
                <w:lang w:val="uk-UA"/>
              </w:rPr>
              <w:t>54,7</w:t>
            </w:r>
          </w:p>
          <w:p w:rsidR="00F22C6E" w:rsidRPr="001B2AF5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  <w:p w:rsidR="009661BA" w:rsidRPr="001B2AF5" w:rsidRDefault="009661BA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9661BA" w:rsidRPr="001B2AF5" w:rsidRDefault="009661BA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164CFC" w:rsidTr="00AE3A6C">
        <w:trPr>
          <w:trHeight w:val="2612"/>
        </w:trPr>
        <w:tc>
          <w:tcPr>
            <w:tcW w:w="372" w:type="dxa"/>
          </w:tcPr>
          <w:p w:rsidR="00164CFC" w:rsidRPr="001E0A3C" w:rsidRDefault="00164CFC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164CFC" w:rsidRPr="001B2AF5" w:rsidRDefault="00164CFC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:rsidR="00A825D5" w:rsidRPr="001B2AF5" w:rsidRDefault="00164CFC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4.4. Сплата членських внесків </w:t>
            </w:r>
          </w:p>
          <w:p w:rsidR="00A825D5" w:rsidRPr="001B2AF5" w:rsidRDefault="00A825D5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Місцевій асоціації органів місцевого самоврядування «Львівська Агломерація»</w:t>
            </w:r>
          </w:p>
          <w:p w:rsidR="00164CFC" w:rsidRPr="001B2AF5" w:rsidRDefault="00164CFC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:rsidR="00164CFC" w:rsidRPr="001B2AF5" w:rsidRDefault="00A825D5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701" w:type="dxa"/>
          </w:tcPr>
          <w:p w:rsidR="00164CFC" w:rsidRPr="001B2AF5" w:rsidRDefault="00164CF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164CFC" w:rsidRPr="001B2AF5" w:rsidRDefault="00A825D5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:rsidR="00164CFC" w:rsidRPr="001B2AF5" w:rsidRDefault="00A825D5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>2024 – 39,526</w:t>
            </w:r>
          </w:p>
          <w:p w:rsidR="00E6380F" w:rsidRPr="001B2AF5" w:rsidRDefault="00E6380F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E6380F" w:rsidRPr="001B2AF5" w:rsidRDefault="00E6380F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="009B39B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39,6</w:t>
            </w:r>
          </w:p>
        </w:tc>
        <w:tc>
          <w:tcPr>
            <w:tcW w:w="2835" w:type="dxa"/>
          </w:tcPr>
          <w:p w:rsidR="00451D00" w:rsidRPr="001B2AF5" w:rsidRDefault="00451D00" w:rsidP="00451D0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:rsidR="00164CFC" w:rsidRPr="001B2AF5" w:rsidRDefault="00164CF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4C1931" w:rsidTr="00AD57BB">
        <w:trPr>
          <w:trHeight w:val="1202"/>
        </w:trPr>
        <w:tc>
          <w:tcPr>
            <w:tcW w:w="8330" w:type="dxa"/>
            <w:gridSpan w:val="5"/>
          </w:tcPr>
          <w:p w:rsidR="004C1931" w:rsidRPr="001B2AF5" w:rsidRDefault="004C1931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Всього:</w:t>
            </w:r>
          </w:p>
        </w:tc>
        <w:tc>
          <w:tcPr>
            <w:tcW w:w="1134" w:type="dxa"/>
          </w:tcPr>
          <w:p w:rsidR="004C1931" w:rsidRPr="001B2AF5" w:rsidRDefault="004C1931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:rsidR="004C1931" w:rsidRPr="001B2AF5" w:rsidRDefault="004C1931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585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,0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:rsidR="004C1931" w:rsidRPr="001B2AF5" w:rsidRDefault="004C1931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466,226</w:t>
            </w:r>
          </w:p>
          <w:p w:rsidR="004C1931" w:rsidRPr="001B2AF5" w:rsidRDefault="004C1931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– 1</w:t>
            </w:r>
            <w:r w:rsidR="00E129B1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="00651545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E129B1">
              <w:rPr>
                <w:rFonts w:ascii="Century" w:hAnsi="Century"/>
                <w:sz w:val="20"/>
                <w:szCs w:val="20"/>
                <w:lang w:val="uk-UA"/>
              </w:rPr>
              <w:t>1,6</w:t>
            </w:r>
          </w:p>
        </w:tc>
        <w:tc>
          <w:tcPr>
            <w:tcW w:w="2835" w:type="dxa"/>
          </w:tcPr>
          <w:p w:rsidR="004C1931" w:rsidRPr="001B2AF5" w:rsidRDefault="004C1931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</w:tbl>
    <w:p w:rsidR="003D6320" w:rsidRDefault="003D6320" w:rsidP="003D6320">
      <w:pPr>
        <w:jc w:val="center"/>
      </w:pPr>
    </w:p>
    <w:p w:rsidR="003D6320" w:rsidRPr="00A5548B" w:rsidRDefault="003D6320" w:rsidP="00A5548B">
      <w:pPr>
        <w:rPr>
          <w:rFonts w:ascii="Century" w:hAnsi="Century"/>
          <w:b/>
          <w:sz w:val="28"/>
          <w:szCs w:val="28"/>
        </w:rPr>
      </w:pPr>
      <w:bookmarkStart w:id="1" w:name="_heading=h.30j0zll" w:colFirst="0" w:colLast="0"/>
      <w:bookmarkEnd w:id="1"/>
      <w:r w:rsidRPr="00333974">
        <w:rPr>
          <w:rFonts w:ascii="Century" w:hAnsi="Century"/>
          <w:b/>
          <w:sz w:val="28"/>
          <w:szCs w:val="28"/>
        </w:rPr>
        <w:t>Секретар</w:t>
      </w:r>
      <w:r w:rsidR="006833AF">
        <w:rPr>
          <w:rFonts w:ascii="Century" w:hAnsi="Century"/>
          <w:b/>
          <w:sz w:val="28"/>
          <w:szCs w:val="28"/>
        </w:rPr>
        <w:t xml:space="preserve"> </w:t>
      </w:r>
      <w:r w:rsidR="003A3DDC" w:rsidRPr="00333974">
        <w:rPr>
          <w:rFonts w:ascii="Century" w:hAnsi="Century"/>
          <w:b/>
          <w:sz w:val="28"/>
          <w:szCs w:val="28"/>
        </w:rPr>
        <w:t>ради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C96F49"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7A1D6F">
        <w:rPr>
          <w:rFonts w:ascii="Century" w:hAnsi="Century"/>
          <w:b/>
          <w:sz w:val="28"/>
          <w:szCs w:val="28"/>
        </w:rPr>
        <w:t xml:space="preserve">     </w:t>
      </w:r>
      <w:r w:rsidR="001E0A3C" w:rsidRPr="00333974">
        <w:rPr>
          <w:rFonts w:ascii="Century" w:hAnsi="Century"/>
          <w:b/>
          <w:sz w:val="28"/>
          <w:szCs w:val="28"/>
        </w:rPr>
        <w:tab/>
      </w:r>
      <w:bookmarkStart w:id="2" w:name="_heading=h.lro73qol5bfz" w:colFirst="0" w:colLast="0"/>
      <w:bookmarkEnd w:id="2"/>
      <w:r w:rsidR="00575804">
        <w:rPr>
          <w:rFonts w:ascii="Century" w:hAnsi="Century"/>
          <w:b/>
          <w:sz w:val="28"/>
          <w:szCs w:val="28"/>
        </w:rPr>
        <w:t>Микола ЛУПІЙ</w:t>
      </w:r>
    </w:p>
    <w:sectPr w:rsidR="003D6320" w:rsidRPr="00A5548B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DF5" w:rsidRDefault="00500DF5">
      <w:r>
        <w:separator/>
      </w:r>
    </w:p>
  </w:endnote>
  <w:endnote w:type="continuationSeparator" w:id="0">
    <w:p w:rsidR="00500DF5" w:rsidRDefault="0050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DF5" w:rsidRDefault="00500DF5">
      <w:r>
        <w:separator/>
      </w:r>
    </w:p>
  </w:footnote>
  <w:footnote w:type="continuationSeparator" w:id="0">
    <w:p w:rsidR="00500DF5" w:rsidRDefault="00500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C11" w:rsidRDefault="00EE15F6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850DF7">
      <w:rPr>
        <w:noProof/>
        <w:color w:val="000000"/>
        <w:sz w:val="28"/>
        <w:szCs w:val="28"/>
      </w:rPr>
      <w:t>4</w:t>
    </w:r>
    <w:r>
      <w:rPr>
        <w:color w:val="000000"/>
        <w:sz w:val="28"/>
        <w:szCs w:val="28"/>
      </w:rPr>
      <w:fldChar w:fldCharType="end"/>
    </w:r>
  </w:p>
  <w:p w:rsidR="00D21C11" w:rsidRDefault="00D21C11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17B7"/>
    <w:rsid w:val="00042530"/>
    <w:rsid w:val="000430D4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44A47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C38F8"/>
    <w:rsid w:val="001D41FD"/>
    <w:rsid w:val="001E0A3C"/>
    <w:rsid w:val="001E63C8"/>
    <w:rsid w:val="001F4475"/>
    <w:rsid w:val="001F4DCE"/>
    <w:rsid w:val="002200AA"/>
    <w:rsid w:val="00225BC4"/>
    <w:rsid w:val="00230060"/>
    <w:rsid w:val="00243D25"/>
    <w:rsid w:val="00294C79"/>
    <w:rsid w:val="002A0243"/>
    <w:rsid w:val="002A4A10"/>
    <w:rsid w:val="002A6AE3"/>
    <w:rsid w:val="002B6EC7"/>
    <w:rsid w:val="002D161B"/>
    <w:rsid w:val="002E0D18"/>
    <w:rsid w:val="002E1CE3"/>
    <w:rsid w:val="0031052C"/>
    <w:rsid w:val="00313402"/>
    <w:rsid w:val="00316ACB"/>
    <w:rsid w:val="00333974"/>
    <w:rsid w:val="00344848"/>
    <w:rsid w:val="003462F5"/>
    <w:rsid w:val="00352880"/>
    <w:rsid w:val="00374B21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540F"/>
    <w:rsid w:val="00432519"/>
    <w:rsid w:val="00440FA2"/>
    <w:rsid w:val="00441ADD"/>
    <w:rsid w:val="00451D00"/>
    <w:rsid w:val="004555AC"/>
    <w:rsid w:val="00466648"/>
    <w:rsid w:val="00482B51"/>
    <w:rsid w:val="004A39B6"/>
    <w:rsid w:val="004B221C"/>
    <w:rsid w:val="004C1931"/>
    <w:rsid w:val="004D1481"/>
    <w:rsid w:val="004D525A"/>
    <w:rsid w:val="004D622F"/>
    <w:rsid w:val="00500DF5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527E9"/>
    <w:rsid w:val="00561E49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1545"/>
    <w:rsid w:val="00655BBC"/>
    <w:rsid w:val="00661B03"/>
    <w:rsid w:val="00676757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7F49E3"/>
    <w:rsid w:val="00804C18"/>
    <w:rsid w:val="008070CE"/>
    <w:rsid w:val="00812D4E"/>
    <w:rsid w:val="008358C7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B180B"/>
    <w:rsid w:val="009B39BA"/>
    <w:rsid w:val="009C2803"/>
    <w:rsid w:val="009C4735"/>
    <w:rsid w:val="009D21E2"/>
    <w:rsid w:val="009D2DBA"/>
    <w:rsid w:val="009D54B8"/>
    <w:rsid w:val="00A17BFD"/>
    <w:rsid w:val="00A345FE"/>
    <w:rsid w:val="00A4146C"/>
    <w:rsid w:val="00A5548B"/>
    <w:rsid w:val="00A74F7F"/>
    <w:rsid w:val="00A81D43"/>
    <w:rsid w:val="00A825D5"/>
    <w:rsid w:val="00AC14FD"/>
    <w:rsid w:val="00AC44B5"/>
    <w:rsid w:val="00AD45F1"/>
    <w:rsid w:val="00AE3A6C"/>
    <w:rsid w:val="00B0594B"/>
    <w:rsid w:val="00B31D20"/>
    <w:rsid w:val="00B324C8"/>
    <w:rsid w:val="00B46025"/>
    <w:rsid w:val="00B47F07"/>
    <w:rsid w:val="00B77C74"/>
    <w:rsid w:val="00B81B4C"/>
    <w:rsid w:val="00B913BB"/>
    <w:rsid w:val="00BA21E3"/>
    <w:rsid w:val="00BB532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2089"/>
    <w:rsid w:val="00CF608E"/>
    <w:rsid w:val="00D01C0E"/>
    <w:rsid w:val="00D21C11"/>
    <w:rsid w:val="00D32FDA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F2D38"/>
    <w:rsid w:val="00E0643C"/>
    <w:rsid w:val="00E07FE8"/>
    <w:rsid w:val="00E129B1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2C6E"/>
    <w:rsid w:val="00F30D6F"/>
    <w:rsid w:val="00F31FDB"/>
    <w:rsid w:val="00F34996"/>
    <w:rsid w:val="00F35B09"/>
    <w:rsid w:val="00F43568"/>
    <w:rsid w:val="00F525EA"/>
    <w:rsid w:val="00F74009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A0E53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08768-0E34-4F60-9089-35232CFA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5113</Words>
  <Characters>2915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Тетяна Грецко</cp:lastModifiedBy>
  <cp:revision>5</cp:revision>
  <cp:lastPrinted>2024-12-10T07:09:00Z</cp:lastPrinted>
  <dcterms:created xsi:type="dcterms:W3CDTF">2025-01-07T06:25:00Z</dcterms:created>
  <dcterms:modified xsi:type="dcterms:W3CDTF">2025-05-21T06:41:00Z</dcterms:modified>
</cp:coreProperties>
</file>